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B76F" w14:textId="77777777" w:rsidR="0081707A" w:rsidRDefault="00000000">
      <w:pPr>
        <w:spacing w:after="120"/>
      </w:pPr>
      <w:r>
        <w:rPr>
          <w:color w:val="888888"/>
          <w:sz w:val="18"/>
          <w:szCs w:val="18"/>
        </w:rPr>
        <w:t>Mercado Internacional | Exportação | Agronegócio</w:t>
      </w:r>
    </w:p>
    <w:p w14:paraId="224D289F" w14:textId="77777777" w:rsidR="0081707A" w:rsidRDefault="00000000">
      <w:pPr>
        <w:spacing w:before="80" w:after="160"/>
      </w:pPr>
      <w:r>
        <w:rPr>
          <w:b/>
          <w:bCs/>
          <w:color w:val="1F3A8C"/>
          <w:sz w:val="40"/>
          <w:szCs w:val="40"/>
        </w:rPr>
        <w:t>Exportar é para quem sabe: como levar produtos brasileiros ao mercado internacional com estratégia e resultado</w:t>
      </w:r>
    </w:p>
    <w:p w14:paraId="051C1995" w14:textId="77777777" w:rsidR="0081707A" w:rsidRDefault="00000000">
      <w:pPr>
        <w:spacing w:after="200"/>
        <w:jc w:val="both"/>
      </w:pPr>
      <w:r>
        <w:rPr>
          <w:i/>
          <w:iCs/>
          <w:color w:val="444444"/>
        </w:rPr>
        <w:t>O Brasil é uma potência exportadora com um portfólio invejável — açaí, café, soja, milho e muito mais. Mas transformar essa riqueza em negócio real no exterior exige muito mais do que ter um bom produto. Exige inteligência, método e parceiros certos.</w:t>
      </w:r>
    </w:p>
    <w:p w14:paraId="220E16FD" w14:textId="77777777" w:rsidR="0081707A" w:rsidRDefault="0081707A">
      <w:pPr>
        <w:pBdr>
          <w:bottom w:val="single" w:sz="4" w:space="1" w:color="1F3A8C"/>
        </w:pBdr>
        <w:spacing w:before="200" w:after="200"/>
      </w:pPr>
    </w:p>
    <w:p w14:paraId="1194A1AF" w14:textId="77777777" w:rsidR="0081707A" w:rsidRDefault="00000000">
      <w:pPr>
        <w:pStyle w:val="Ttulo2"/>
      </w:pPr>
      <w:r>
        <w:t>O Brasil no mapa global das exportações</w:t>
      </w:r>
    </w:p>
    <w:p w14:paraId="0E0B6BC7" w14:textId="77777777" w:rsidR="0081707A" w:rsidRDefault="00000000">
      <w:pPr>
        <w:spacing w:before="80" w:after="120" w:line="320" w:lineRule="auto"/>
        <w:jc w:val="both"/>
      </w:pPr>
      <w:r>
        <w:t>Quando o mundo quer proteína vegetal, chama o Brasil. Quando quer café de origem, chama o Brasil. Quando procura superalimentos naturais, o açaí brasileiro aparece nas prateleiras de Nova York, Amsterdã e Tóquio. Não é coincidência — é resultado de décadas de produção agrícola de alto nível e de uma biodiversidade sem igual.</w:t>
      </w:r>
    </w:p>
    <w:p w14:paraId="6732636B" w14:textId="77777777" w:rsidR="0081707A" w:rsidRDefault="00000000">
      <w:pPr>
        <w:spacing w:before="80" w:after="120" w:line="320" w:lineRule="auto"/>
        <w:jc w:val="both"/>
      </w:pPr>
      <w:r>
        <w:t>O agronegócio brasileiro fechou 2025 com recordes históricos. Foram mais de 40 milhões de sacas de café exportadas, volumes crescentes de soja e milho escoados para Europa e Ásia, e o açaí consolidando sua presença como um dos superalimentos mais desejados do planeta. O potencial está dado.</w:t>
      </w:r>
    </w:p>
    <w:p w14:paraId="131CED92" w14:textId="77777777" w:rsidR="0081707A" w:rsidRDefault="00000000">
      <w:pPr>
        <w:spacing w:before="80" w:after="120" w:line="320" w:lineRule="auto"/>
        <w:jc w:val="both"/>
      </w:pPr>
      <w:r>
        <w:t xml:space="preserve">A grande questão é: </w:t>
      </w:r>
      <w:r>
        <w:rPr>
          <w:b/>
          <w:bCs/>
        </w:rPr>
        <w:t>como transformar esse potencial em contratos reais, relações comerciais duradouras e crescimento sustentável para o seu negócio?</w:t>
      </w:r>
    </w:p>
    <w:p w14:paraId="57D2AA84" w14:textId="77777777" w:rsidR="0081707A" w:rsidRDefault="0081707A">
      <w:pPr>
        <w:pBdr>
          <w:bottom w:val="single" w:sz="4" w:space="1" w:color="1F3A8C"/>
        </w:pBdr>
        <w:spacing w:before="200" w:after="200"/>
      </w:pPr>
    </w:p>
    <w:p w14:paraId="47E477CC" w14:textId="77777777" w:rsidR="0081707A" w:rsidRDefault="00000000">
      <w:pPr>
        <w:pStyle w:val="Ttulo2"/>
      </w:pPr>
      <w:r>
        <w:t>As principais dificuldades de quem quer exportar</w:t>
      </w:r>
    </w:p>
    <w:p w14:paraId="22D4B1E4" w14:textId="77777777" w:rsidR="0081707A" w:rsidRDefault="00000000">
      <w:pPr>
        <w:spacing w:before="80" w:after="120" w:line="320" w:lineRule="auto"/>
        <w:jc w:val="both"/>
      </w:pPr>
      <w:r>
        <w:t>A exportação não é um caminho simples. Empresas que tentam entrar no mercado internacional sem preparo enfrentam barreiras que vão muito além da distância geográfica. Conhecer esses obstáculos é o primeiro passo para superá-los.</w:t>
      </w:r>
    </w:p>
    <w:p w14:paraId="54B93711" w14:textId="77777777" w:rsidR="0081707A" w:rsidRDefault="00000000">
      <w:pPr>
        <w:spacing w:before="160" w:after="80"/>
      </w:pPr>
      <w:r>
        <w:rPr>
          <w:b/>
          <w:bCs/>
          <w:color w:val="1F3A8C"/>
        </w:rPr>
        <w:t>Burocracia e documentação</w:t>
      </w:r>
    </w:p>
    <w:p w14:paraId="60826CB4" w14:textId="77777777" w:rsidR="0081707A" w:rsidRDefault="00000000">
      <w:pPr>
        <w:spacing w:before="80" w:after="120" w:line="320" w:lineRule="auto"/>
        <w:jc w:val="both"/>
      </w:pPr>
      <w:r>
        <w:t xml:space="preserve">Exportar exige registro no RADAR/SISCOMEX, Declaração Única de Exportação (DU-E), certificados de origem, faturas comerciais bilíngues, conhecimento de embarque (Bill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Lading</w:t>
      </w:r>
      <w:proofErr w:type="spellEnd"/>
      <w:r>
        <w:t>), apólices de seguro e uma série de documentos que variam conforme o produto e o país de destino. Um erro em qualquer etapa pode significar a retenção da carga, multas ou a perda do negócio.</w:t>
      </w:r>
    </w:p>
    <w:p w14:paraId="069113F4" w14:textId="77777777" w:rsidR="0081707A" w:rsidRDefault="00000000">
      <w:pPr>
        <w:spacing w:before="160" w:after="80"/>
      </w:pPr>
      <w:r>
        <w:rPr>
          <w:b/>
          <w:bCs/>
          <w:color w:val="1F3A8C"/>
        </w:rPr>
        <w:t>Regulamentações específicas de cada mercado</w:t>
      </w:r>
    </w:p>
    <w:p w14:paraId="06B733F6" w14:textId="77777777" w:rsidR="0081707A" w:rsidRDefault="00000000">
      <w:pPr>
        <w:spacing w:before="80" w:after="120" w:line="320" w:lineRule="auto"/>
        <w:jc w:val="both"/>
      </w:pPr>
      <w:r>
        <w:t xml:space="preserve">Cada país tem suas próprias exigências. Para exportar alimentos aos Estados Unidos, é obrigatório o registro no FDA, o cumprimento da FSMA e o envio de notificação prévia de embarque. Para a Europa, a legislação EUDR passou a exigir comprovação digital de que </w:t>
      </w:r>
      <w:r>
        <w:lastRenderedPageBreak/>
        <w:t xml:space="preserve">produtos como soja, café e milho não causaram desmatamento — com rastreabilidade </w:t>
      </w:r>
      <w:proofErr w:type="spellStart"/>
      <w:r>
        <w:t>geolocalizada</w:t>
      </w:r>
      <w:proofErr w:type="spellEnd"/>
      <w:r>
        <w:t xml:space="preserve"> de cada fazenda de origem. Quem não se adapta, simplesmente não entra.</w:t>
      </w:r>
    </w:p>
    <w:p w14:paraId="3D51204F" w14:textId="77777777" w:rsidR="0081707A" w:rsidRDefault="00000000">
      <w:pPr>
        <w:spacing w:before="160" w:after="80"/>
      </w:pPr>
      <w:r>
        <w:rPr>
          <w:b/>
          <w:bCs/>
          <w:color w:val="1F3A8C"/>
        </w:rPr>
        <w:t>Tarifas, câmbio e volatilidade de mercado</w:t>
      </w:r>
    </w:p>
    <w:p w14:paraId="6C515C86" w14:textId="77777777" w:rsidR="0081707A" w:rsidRDefault="00000000">
      <w:pPr>
        <w:spacing w:before="80" w:after="120" w:line="320" w:lineRule="auto"/>
        <w:jc w:val="both"/>
      </w:pPr>
      <w:r>
        <w:t>O cenário tarifário muda com frequência. Em 2025, os Estados Unidos implementaram tarifas adicionais de até 40% sobre produtos brasileiros, impactando diretamente a margem de exportadores. Paralelamente, a variação cambial entre real, dólar e euro exige um planejamento financeiro sofisticado para que a operação continue rentável.</w:t>
      </w:r>
    </w:p>
    <w:p w14:paraId="08577B1E" w14:textId="77777777" w:rsidR="0081707A" w:rsidRDefault="00000000">
      <w:pPr>
        <w:spacing w:before="160" w:after="80"/>
      </w:pPr>
      <w:r>
        <w:rPr>
          <w:b/>
          <w:bCs/>
          <w:color w:val="1F3A8C"/>
        </w:rPr>
        <w:t>Logística internacional e cadeia de frio</w:t>
      </w:r>
    </w:p>
    <w:p w14:paraId="1F1AD9E2" w14:textId="77777777" w:rsidR="0081707A" w:rsidRDefault="00000000">
      <w:pPr>
        <w:spacing w:before="80" w:after="120" w:line="320" w:lineRule="auto"/>
        <w:jc w:val="both"/>
      </w:pPr>
      <w:r>
        <w:t>Produtos perecíveis como o açaí exigem containers refrigerados (</w:t>
      </w:r>
      <w:proofErr w:type="spellStart"/>
      <w:r>
        <w:t>reefer</w:t>
      </w:r>
      <w:proofErr w:type="spellEnd"/>
      <w:r>
        <w:t>), monitoramento contínuo de temperatura e prazos logísticos milimétricos. Qualquer falha na cadeia de frio compromete o carregamento inteiro. Já commodities como soja e milho demandam planejamento de embarque alinhado às janelas de safra e disponibilidade de navios.</w:t>
      </w:r>
    </w:p>
    <w:p w14:paraId="64257E7A" w14:textId="77777777" w:rsidR="0081707A" w:rsidRDefault="00000000">
      <w:pPr>
        <w:spacing w:before="160" w:after="80"/>
      </w:pPr>
      <w:r>
        <w:rPr>
          <w:b/>
          <w:bCs/>
          <w:color w:val="1F3A8C"/>
        </w:rPr>
        <w:t>Prospecção e acesso a compradores no exterior</w:t>
      </w:r>
    </w:p>
    <w:p w14:paraId="0D720430" w14:textId="77777777" w:rsidR="0081707A" w:rsidRDefault="00000000">
      <w:pPr>
        <w:spacing w:before="80" w:after="120" w:line="320" w:lineRule="auto"/>
        <w:jc w:val="both"/>
      </w:pPr>
      <w:r>
        <w:t>Encontrar compradores confiáveis no exterior é um dos maiores desafios para quem está iniciando. Feiras internacionais, plataformas B2B, distribuidores locais e representantes comerciais fazem parte de um ecossistema complexo que requer tempo, rede de contatos e conhecimento de cada mercado.</w:t>
      </w:r>
    </w:p>
    <w:p w14:paraId="6A174E32" w14:textId="77777777" w:rsidR="0081707A" w:rsidRDefault="0081707A">
      <w:pPr>
        <w:pBdr>
          <w:bottom w:val="single" w:sz="4" w:space="1" w:color="1F3A8C"/>
        </w:pBdr>
        <w:spacing w:before="200" w:after="200"/>
      </w:pPr>
    </w:p>
    <w:p w14:paraId="1B1FCD2D" w14:textId="77777777" w:rsidR="0081707A" w:rsidRDefault="00000000">
      <w:pPr>
        <w:pStyle w:val="Ttulo2"/>
      </w:pPr>
      <w:r>
        <w:t>Por que, mesmo assim, exportar vale a pena</w:t>
      </w:r>
    </w:p>
    <w:p w14:paraId="2E0EF83D" w14:textId="77777777" w:rsidR="0081707A" w:rsidRDefault="00000000">
      <w:pPr>
        <w:spacing w:before="80" w:after="120" w:line="320" w:lineRule="auto"/>
        <w:jc w:val="both"/>
      </w:pPr>
      <w:r>
        <w:t>Apesar das dificuldades, os benefícios de entrar no mercado internacional são transformadores para qualquer empresa. Não se trata apenas de vender mais — trata-se de construir um negócio mais sólido, resiliente e com maior valor percebido.</w:t>
      </w:r>
    </w:p>
    <w:p w14:paraId="0F55FB2E" w14:textId="77777777" w:rsidR="0081707A" w:rsidRDefault="00000000">
      <w:pPr>
        <w:pStyle w:val="PargrafodaLista"/>
        <w:numPr>
          <w:ilvl w:val="0"/>
          <w:numId w:val="2"/>
        </w:numPr>
        <w:spacing w:before="60" w:after="60" w:line="300" w:lineRule="auto"/>
      </w:pPr>
      <w:r>
        <w:t>Aumento expressivo de faturamento: o mercado externo amplia o público potencial para bilhões de consumidores, reduzindo a dependência do mercado doméstico.</w:t>
      </w:r>
    </w:p>
    <w:p w14:paraId="7091BDF8" w14:textId="77777777" w:rsidR="0081707A" w:rsidRDefault="00000000">
      <w:pPr>
        <w:pStyle w:val="PargrafodaLista"/>
        <w:numPr>
          <w:ilvl w:val="0"/>
          <w:numId w:val="2"/>
        </w:numPr>
        <w:spacing w:before="60" w:after="60" w:line="300" w:lineRule="auto"/>
      </w:pPr>
      <w:r>
        <w:t>Valorização do produto: café certificado, açaí orgânico e soja rastreável atingem preços premium no exterior que raramente são praticados no Brasil.</w:t>
      </w:r>
    </w:p>
    <w:p w14:paraId="2231BE05" w14:textId="77777777" w:rsidR="0081707A" w:rsidRDefault="00000000">
      <w:pPr>
        <w:pStyle w:val="PargrafodaLista"/>
        <w:numPr>
          <w:ilvl w:val="0"/>
          <w:numId w:val="2"/>
        </w:numPr>
        <w:spacing w:before="60" w:after="60" w:line="300" w:lineRule="auto"/>
      </w:pPr>
      <w:r>
        <w:t>Proteção contra crises locais: diversificar para outros países significa que uma crise econômica interna não derruba o negócio inteiro.</w:t>
      </w:r>
    </w:p>
    <w:p w14:paraId="69538115" w14:textId="77777777" w:rsidR="0081707A" w:rsidRDefault="00000000">
      <w:pPr>
        <w:pStyle w:val="PargrafodaLista"/>
        <w:numPr>
          <w:ilvl w:val="0"/>
          <w:numId w:val="2"/>
        </w:numPr>
        <w:spacing w:before="60" w:after="60" w:line="300" w:lineRule="auto"/>
      </w:pPr>
      <w:r>
        <w:t>Fortalecimento de marca: uma empresa que exporta carrega um diferencial competitivo que abre portas também no mercado nacional.</w:t>
      </w:r>
    </w:p>
    <w:p w14:paraId="438BF678" w14:textId="77777777" w:rsidR="0081707A" w:rsidRDefault="00000000">
      <w:pPr>
        <w:pStyle w:val="PargrafodaLista"/>
        <w:numPr>
          <w:ilvl w:val="0"/>
          <w:numId w:val="2"/>
        </w:numPr>
        <w:spacing w:before="60" w:after="60" w:line="300" w:lineRule="auto"/>
      </w:pPr>
      <w:r>
        <w:t>Acesso a incentivos fiscais: o regime de Drawback, por exemplo, permite suspensão de tributos sobre insumos utilizados na produção de bens exportados, reduzindo significativamente os custos operacionais.</w:t>
      </w:r>
    </w:p>
    <w:p w14:paraId="6B7B2C63" w14:textId="77777777" w:rsidR="0081707A" w:rsidRDefault="00000000">
      <w:pPr>
        <w:pStyle w:val="PargrafodaLista"/>
        <w:numPr>
          <w:ilvl w:val="0"/>
          <w:numId w:val="2"/>
        </w:numPr>
        <w:spacing w:before="60" w:after="60" w:line="300" w:lineRule="auto"/>
      </w:pPr>
      <w:r>
        <w:t>Relacionamentos comerciais duradouros: contratos internacionais bem estruturados criam parcerias de longo prazo, com previsibilidade de receita e volume.</w:t>
      </w:r>
    </w:p>
    <w:p w14:paraId="6F62C726" w14:textId="77777777" w:rsidR="0081707A" w:rsidRDefault="0081707A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1707A" w14:paraId="0FEEC0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8D8F5"/>
              <w:left w:val="single" w:sz="1" w:space="0" w:color="C8D8F5"/>
              <w:bottom w:val="single" w:sz="1" w:space="0" w:color="C8D8F5"/>
              <w:right w:val="single" w:sz="1" w:space="0" w:color="C8D8F5"/>
            </w:tcBorders>
            <w:shd w:val="clear" w:color="auto" w:fill="EEF3F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B7F004E" w14:textId="77777777" w:rsidR="0081707A" w:rsidRDefault="00000000">
            <w:pPr>
              <w:spacing w:after="60"/>
            </w:pPr>
            <w:r>
              <w:rPr>
                <w:b/>
                <w:bCs/>
                <w:color w:val="1F3A8C"/>
                <w:sz w:val="20"/>
                <w:szCs w:val="20"/>
              </w:rPr>
              <w:t>Dado do setor</w:t>
            </w:r>
          </w:p>
          <w:p w14:paraId="123B81C9" w14:textId="77777777" w:rsidR="0081707A" w:rsidRDefault="00000000">
            <w:pPr>
              <w:spacing w:line="300" w:lineRule="auto"/>
              <w:jc w:val="both"/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O agronegócio brasileiro gerou um superávit de mais de US$ 57 bilhões em 2025, segundo dados do </w:t>
            </w:r>
            <w:proofErr w:type="spellStart"/>
            <w:r>
              <w:rPr>
                <w:i/>
                <w:iCs/>
                <w:sz w:val="20"/>
                <w:szCs w:val="20"/>
              </w:rPr>
              <w:t>ComexStat</w:t>
            </w:r>
            <w:proofErr w:type="spellEnd"/>
            <w:r>
              <w:rPr>
                <w:i/>
                <w:iCs/>
                <w:sz w:val="20"/>
                <w:szCs w:val="20"/>
              </w:rPr>
              <w:t>. O mercado internacional não é uma opção — é uma fronteira de crescimento que o Brasil ainda explora abaixo do seu potencial.</w:t>
            </w:r>
          </w:p>
        </w:tc>
      </w:tr>
    </w:tbl>
    <w:p w14:paraId="555BEF73" w14:textId="77777777" w:rsidR="0081707A" w:rsidRDefault="0081707A">
      <w:pPr>
        <w:pBdr>
          <w:bottom w:val="single" w:sz="4" w:space="1" w:color="1F3A8C"/>
        </w:pBdr>
        <w:spacing w:before="200" w:after="200"/>
      </w:pPr>
    </w:p>
    <w:p w14:paraId="42FDFFC5" w14:textId="77777777" w:rsidR="0081707A" w:rsidRDefault="00000000">
      <w:pPr>
        <w:pStyle w:val="Ttulo2"/>
      </w:pPr>
      <w:r>
        <w:t>EUA ou Europa? A escolha certa faz toda a diferença</w:t>
      </w:r>
    </w:p>
    <w:p w14:paraId="2549FF1C" w14:textId="77777777" w:rsidR="0081707A" w:rsidRDefault="00000000">
      <w:pPr>
        <w:spacing w:before="80" w:after="120" w:line="320" w:lineRule="auto"/>
        <w:jc w:val="both"/>
      </w:pPr>
      <w:r>
        <w:t>Um dos erros mais comuns de quem inicia na exportação é tentar abraçar o mundo de uma vez. A estratégia mais eficaz é o oposto: escolher o mercado certo para o produto certo e construir uma presença sólida antes de expandir.</w:t>
      </w:r>
    </w:p>
    <w:p w14:paraId="22CCA725" w14:textId="77777777" w:rsidR="0081707A" w:rsidRDefault="00000000">
      <w:pPr>
        <w:spacing w:before="80" w:after="120" w:line="320" w:lineRule="auto"/>
        <w:jc w:val="both"/>
      </w:pPr>
      <w:r>
        <w:rPr>
          <w:b/>
          <w:bCs/>
        </w:rPr>
        <w:t>Para o açaí</w:t>
      </w:r>
      <w:r>
        <w:t xml:space="preserve">, os Estados Unidos lideram em consumo de superalimentos e têm um mercado de </w:t>
      </w:r>
      <w:proofErr w:type="spellStart"/>
      <w:r>
        <w:t>bowls</w:t>
      </w:r>
      <w:proofErr w:type="spellEnd"/>
      <w:r>
        <w:t xml:space="preserve">, smoothies e produtos </w:t>
      </w:r>
      <w:proofErr w:type="spellStart"/>
      <w:r>
        <w:t>plant-based</w:t>
      </w:r>
      <w:proofErr w:type="spellEnd"/>
      <w:r>
        <w:t xml:space="preserve"> extremamente ativo. Para o </w:t>
      </w:r>
      <w:r>
        <w:rPr>
          <w:b/>
          <w:bCs/>
        </w:rPr>
        <w:t>café</w:t>
      </w:r>
      <w:r>
        <w:t xml:space="preserve">, a Europa é o destino premium por excelência — Alemanha, Itália e Bélgica são compradores históricos do café brasileiro. Para </w:t>
      </w:r>
      <w:r>
        <w:rPr>
          <w:b/>
          <w:bCs/>
        </w:rPr>
        <w:t>soja e milho</w:t>
      </w:r>
      <w:r>
        <w:t>, a União Europeia representa um mercado relevante para farelo e óleo, mas exige compliance completo com a legislação EUDR de rastreabilidade ambiental.</w:t>
      </w:r>
    </w:p>
    <w:p w14:paraId="20350558" w14:textId="77777777" w:rsidR="0081707A" w:rsidRDefault="00000000">
      <w:pPr>
        <w:spacing w:before="80" w:after="120" w:line="320" w:lineRule="auto"/>
        <w:jc w:val="both"/>
      </w:pPr>
      <w:r>
        <w:t>Cada destino tem seu ritmo, sua cultura de negociação e suas exigências técnicas. Navegar por tudo isso sem um guia experiente é como cruzar um oceano sem GPS.</w:t>
      </w:r>
    </w:p>
    <w:p w14:paraId="2D1ABEB6" w14:textId="77777777" w:rsidR="0081707A" w:rsidRDefault="0081707A">
      <w:pPr>
        <w:pBdr>
          <w:bottom w:val="single" w:sz="4" w:space="1" w:color="1F3A8C"/>
        </w:pBdr>
        <w:spacing w:before="200" w:after="200"/>
      </w:pPr>
    </w:p>
    <w:p w14:paraId="7613195E" w14:textId="77777777" w:rsidR="0081707A" w:rsidRDefault="00000000">
      <w:pPr>
        <w:pStyle w:val="Ttulo1"/>
      </w:pPr>
      <w:r>
        <w:t>WMA Digital: sua gestão completa para o mercado internacional</w:t>
      </w:r>
    </w:p>
    <w:p w14:paraId="55C10F67" w14:textId="77777777" w:rsidR="0081707A" w:rsidRDefault="00000000">
      <w:pPr>
        <w:spacing w:before="80" w:after="120" w:line="320" w:lineRule="auto"/>
        <w:jc w:val="both"/>
      </w:pPr>
      <w:r>
        <w:t>A WMA Digital nasceu com uma missão clara: gerar resultados reais para seus clientes. E quando o assunto é expansão internacional, isso significa estar ao lado da empresa em cada etapa — da documentação inicial até a prospecção ativa de novos mercados no exterior.</w:t>
      </w:r>
    </w:p>
    <w:p w14:paraId="6A78BDC1" w14:textId="77777777" w:rsidR="0081707A" w:rsidRDefault="00000000">
      <w:pPr>
        <w:spacing w:before="80" w:after="120" w:line="320" w:lineRule="auto"/>
        <w:jc w:val="both"/>
      </w:pPr>
      <w:r>
        <w:t>Não somos apenas uma agência de marketing digital. Somos um parceiro estratégico de crescimento com conhecimento técnico em comércio exterior, transformação digital e gestão comercial. Nossa atuação no mercado de exportação de produtos brasileiros — açaí, café, soja e milho — nos deu uma visão de 360° sobre o que funciona e o que não funciona nessa jornada.</w:t>
      </w:r>
    </w:p>
    <w:p w14:paraId="35147F10" w14:textId="77777777" w:rsidR="0081707A" w:rsidRDefault="00000000">
      <w:pPr>
        <w:spacing w:before="200" w:after="120"/>
      </w:pPr>
      <w:r>
        <w:rPr>
          <w:b/>
          <w:bCs/>
          <w:color w:val="1F3A8C"/>
          <w:sz w:val="24"/>
          <w:szCs w:val="24"/>
        </w:rPr>
        <w:t>O que a WMA Digital faz por você:</w:t>
      </w:r>
    </w:p>
    <w:p w14:paraId="6E5B5C81" w14:textId="2DAB3ECF" w:rsidR="0081707A" w:rsidRDefault="00000000">
      <w:pPr>
        <w:pStyle w:val="PargrafodaLista"/>
        <w:numPr>
          <w:ilvl w:val="0"/>
          <w:numId w:val="2"/>
        </w:numPr>
        <w:spacing w:before="60" w:after="60" w:line="300" w:lineRule="auto"/>
      </w:pPr>
      <w:r>
        <w:t xml:space="preserve">Gestão completa do processo de exportação: da habilitação no RADAR/SISCOMEX até o acompanhamento </w:t>
      </w:r>
      <w:r w:rsidR="005A2BD1">
        <w:t xml:space="preserve">de </w:t>
      </w:r>
      <w:r>
        <w:t>embarque.</w:t>
      </w:r>
    </w:p>
    <w:p w14:paraId="41F8BCF2" w14:textId="468FA40C" w:rsidR="0081707A" w:rsidRDefault="00000000">
      <w:pPr>
        <w:pStyle w:val="PargrafodaLista"/>
        <w:numPr>
          <w:ilvl w:val="0"/>
          <w:numId w:val="2"/>
        </w:numPr>
        <w:spacing w:before="60" w:after="60" w:line="300" w:lineRule="auto"/>
      </w:pPr>
      <w:r>
        <w:t>Organização e orientação documental: DU-E, certificados de origem, certificações FDA, EUDR</w:t>
      </w:r>
      <w:r w:rsidR="001E1C96">
        <w:t>, EFSA</w:t>
      </w:r>
      <w:r>
        <w:t xml:space="preserve"> e demais exigências por mercado.</w:t>
      </w:r>
    </w:p>
    <w:p w14:paraId="7E7561F5" w14:textId="77777777" w:rsidR="0081707A" w:rsidRDefault="00000000">
      <w:pPr>
        <w:pStyle w:val="PargrafodaLista"/>
        <w:numPr>
          <w:ilvl w:val="0"/>
          <w:numId w:val="2"/>
        </w:numPr>
        <w:spacing w:before="60" w:after="60" w:line="300" w:lineRule="auto"/>
      </w:pPr>
      <w:r>
        <w:t>Estratégia por produto e destino: definimos juntos quais mercados têm o maior potencial para o seu produto e construímos um plano de entrada estruturado.</w:t>
      </w:r>
    </w:p>
    <w:p w14:paraId="783BF03B" w14:textId="77777777" w:rsidR="0081707A" w:rsidRDefault="00000000">
      <w:pPr>
        <w:pStyle w:val="PargrafodaLista"/>
        <w:numPr>
          <w:ilvl w:val="0"/>
          <w:numId w:val="2"/>
        </w:numPr>
        <w:spacing w:before="60" w:after="60" w:line="300" w:lineRule="auto"/>
      </w:pPr>
      <w:r>
        <w:lastRenderedPageBreak/>
        <w:t>Prospecção ativa de novos mercados internacionais: mapeamos compradores, distribuidores e parceiros comerciais no exterior, abrindo portas que você ainda não consegue enxergar.</w:t>
      </w:r>
    </w:p>
    <w:p w14:paraId="2E7C0DEE" w14:textId="77777777" w:rsidR="0081707A" w:rsidRDefault="00000000">
      <w:pPr>
        <w:pStyle w:val="PargrafodaLista"/>
        <w:numPr>
          <w:ilvl w:val="0"/>
          <w:numId w:val="2"/>
        </w:numPr>
        <w:spacing w:before="60" w:after="60" w:line="300" w:lineRule="auto"/>
      </w:pPr>
      <w:r>
        <w:t>Gestão de marca e posicionamento: criamos a narrativa certa para o seu produto no idioma e na cultura do mercado-alvo.</w:t>
      </w:r>
    </w:p>
    <w:p w14:paraId="682F3F19" w14:textId="77777777" w:rsidR="0081707A" w:rsidRDefault="00000000">
      <w:pPr>
        <w:pStyle w:val="PargrafodaLista"/>
        <w:numPr>
          <w:ilvl w:val="0"/>
          <w:numId w:val="2"/>
        </w:numPr>
        <w:spacing w:before="60" w:after="60" w:line="300" w:lineRule="auto"/>
      </w:pPr>
      <w:r>
        <w:t>Acompanhamento financeiro e cambial: suporte na estruturação de preços em dólar e euro, análise de margens e incentivos fiscais disponíveis.</w:t>
      </w:r>
    </w:p>
    <w:p w14:paraId="7794818A" w14:textId="77777777" w:rsidR="0081707A" w:rsidRDefault="00000000">
      <w:pPr>
        <w:pStyle w:val="PargrafodaLista"/>
        <w:numPr>
          <w:ilvl w:val="0"/>
          <w:numId w:val="2"/>
        </w:numPr>
        <w:spacing w:before="60" w:after="60" w:line="300" w:lineRule="auto"/>
      </w:pPr>
      <w:r>
        <w:t>Marketing digital internacional: estratégias de conteúdo, redes sociais e presença digital para mercados externos.</w:t>
      </w:r>
    </w:p>
    <w:p w14:paraId="173A74B6" w14:textId="77777777" w:rsidR="0081707A" w:rsidRDefault="0081707A">
      <w:pPr>
        <w:spacing w:before="60"/>
      </w:pPr>
    </w:p>
    <w:p w14:paraId="389C1B0C" w14:textId="77777777" w:rsidR="0081707A" w:rsidRDefault="00000000">
      <w:pPr>
        <w:spacing w:before="160" w:after="160"/>
        <w:jc w:val="center"/>
      </w:pPr>
      <w:r>
        <w:rPr>
          <w:b/>
          <w:bCs/>
          <w:color w:val="E8A020"/>
        </w:rPr>
        <w:t>"Seu produto tem vocação global. A WMA Digital tem o conhecimento para levá-lo até lá."</w:t>
      </w:r>
    </w:p>
    <w:p w14:paraId="57C66649" w14:textId="77777777" w:rsidR="0081707A" w:rsidRDefault="0081707A">
      <w:pPr>
        <w:spacing w:before="60"/>
      </w:pPr>
    </w:p>
    <w:p w14:paraId="714EF0EF" w14:textId="77777777" w:rsidR="0081707A" w:rsidRDefault="00000000">
      <w:pPr>
        <w:spacing w:before="80" w:after="120" w:line="320" w:lineRule="auto"/>
        <w:jc w:val="both"/>
      </w:pPr>
      <w:r>
        <w:t>Seja você um produtor que está exportando pela primeira vez ou uma empresa que já opera no exterior e quer escalar com mais inteligência, a WMA Digital tem a expertise e a estrutura para conduzir esse processo com eficiência e foco em resultado.</w:t>
      </w:r>
    </w:p>
    <w:p w14:paraId="7C7DE8AC" w14:textId="77777777" w:rsidR="0081707A" w:rsidRDefault="00000000">
      <w:pPr>
        <w:spacing w:before="80" w:after="120" w:line="320" w:lineRule="auto"/>
        <w:jc w:val="both"/>
      </w:pPr>
      <w:r>
        <w:t>Não deixe que a burocracia, as barreiras regulatórias ou a falta de contatos internacionais impeçam o seu crescimento. O mundo está comprando — e o Brasil tem exatamente o que ele quer.</w:t>
      </w:r>
    </w:p>
    <w:p w14:paraId="05540566" w14:textId="77777777" w:rsidR="0081707A" w:rsidRDefault="0081707A">
      <w:pPr>
        <w:pBdr>
          <w:bottom w:val="single" w:sz="4" w:space="1" w:color="1F3A8C"/>
        </w:pBdr>
        <w:spacing w:before="200" w:after="200"/>
      </w:pPr>
    </w:p>
    <w:p w14:paraId="035FD7BA" w14:textId="77777777" w:rsidR="0081707A" w:rsidRDefault="00000000">
      <w:pPr>
        <w:spacing w:before="200" w:after="100"/>
        <w:jc w:val="center"/>
      </w:pPr>
      <w:r>
        <w:rPr>
          <w:b/>
          <w:bCs/>
          <w:color w:val="1F3A8C"/>
          <w:sz w:val="28"/>
          <w:szCs w:val="28"/>
        </w:rPr>
        <w:t>Pronto para dar o próximo passo?</w:t>
      </w:r>
    </w:p>
    <w:p w14:paraId="0EE39A7E" w14:textId="77777777" w:rsidR="0081707A" w:rsidRDefault="00000000">
      <w:pPr>
        <w:spacing w:after="160"/>
        <w:jc w:val="center"/>
      </w:pPr>
      <w:r>
        <w:rPr>
          <w:color w:val="444444"/>
        </w:rPr>
        <w:t>Fale com a WMA Digital e descubra como podemos impulsionar a internacionalização do seu negócio.</w:t>
      </w:r>
    </w:p>
    <w:p w14:paraId="4CAA95C9" w14:textId="77777777" w:rsidR="0081707A" w:rsidRDefault="00000000">
      <w:pPr>
        <w:spacing w:before="80" w:after="80"/>
        <w:jc w:val="center"/>
      </w:pPr>
      <w:r>
        <w:rPr>
          <w:b/>
          <w:bCs/>
          <w:color w:val="E8A020"/>
        </w:rPr>
        <w:t>wmadigital.com.br</w:t>
      </w:r>
    </w:p>
    <w:p w14:paraId="47411AD5" w14:textId="77777777" w:rsidR="0081707A" w:rsidRDefault="0081707A">
      <w:pPr>
        <w:pBdr>
          <w:bottom w:val="single" w:sz="4" w:space="1" w:color="1F3A8C"/>
        </w:pBdr>
        <w:spacing w:before="200" w:after="200"/>
      </w:pPr>
    </w:p>
    <w:p w14:paraId="27AF3CEA" w14:textId="77777777" w:rsidR="0081707A" w:rsidRDefault="00000000">
      <w:pPr>
        <w:spacing w:before="160" w:after="60"/>
      </w:pPr>
      <w:r>
        <w:rPr>
          <w:b/>
          <w:bCs/>
          <w:color w:val="666666"/>
          <w:sz w:val="20"/>
          <w:szCs w:val="20"/>
        </w:rPr>
        <w:t>Sobre a WMA Digital</w:t>
      </w:r>
    </w:p>
    <w:p w14:paraId="08C0A731" w14:textId="77777777" w:rsidR="0081707A" w:rsidRDefault="00000000">
      <w:pPr>
        <w:spacing w:line="300" w:lineRule="auto"/>
        <w:jc w:val="both"/>
      </w:pPr>
      <w:r>
        <w:rPr>
          <w:color w:val="666666"/>
          <w:sz w:val="18"/>
          <w:szCs w:val="18"/>
        </w:rPr>
        <w:t>A WMA Digital é uma empresa especializada em estratégias de crescimento empresarial através do marketing digital, tecnologia, transformação digital e gestão comercial. Com atuação no mercado nacional e internacional, ajuda empresas a aumentar faturamento, fortalecer posicionamento de marca e expandir para novos mercados — incluindo a exportação de produtos do agronegócio brasileiro para os Estados Unidos e a Europa.</w:t>
      </w:r>
    </w:p>
    <w:sectPr w:rsidR="0081707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75EA"/>
    <w:multiLevelType w:val="hybridMultilevel"/>
    <w:tmpl w:val="A77CD586"/>
    <w:lvl w:ilvl="0" w:tplc="06C4DF52">
      <w:start w:val="1"/>
      <w:numFmt w:val="bullet"/>
      <w:lvlText w:val="•"/>
      <w:lvlJc w:val="left"/>
      <w:pPr>
        <w:ind w:left="720" w:hanging="360"/>
      </w:pPr>
    </w:lvl>
    <w:lvl w:ilvl="1" w:tplc="EF867DAA">
      <w:numFmt w:val="decimal"/>
      <w:lvlText w:val=""/>
      <w:lvlJc w:val="left"/>
    </w:lvl>
    <w:lvl w:ilvl="2" w:tplc="482AC8B0">
      <w:numFmt w:val="decimal"/>
      <w:lvlText w:val=""/>
      <w:lvlJc w:val="left"/>
    </w:lvl>
    <w:lvl w:ilvl="3" w:tplc="B19ADBDA">
      <w:numFmt w:val="decimal"/>
      <w:lvlText w:val=""/>
      <w:lvlJc w:val="left"/>
    </w:lvl>
    <w:lvl w:ilvl="4" w:tplc="DB1A0A04">
      <w:numFmt w:val="decimal"/>
      <w:lvlText w:val=""/>
      <w:lvlJc w:val="left"/>
    </w:lvl>
    <w:lvl w:ilvl="5" w:tplc="8EFA7F68">
      <w:numFmt w:val="decimal"/>
      <w:lvlText w:val=""/>
      <w:lvlJc w:val="left"/>
    </w:lvl>
    <w:lvl w:ilvl="6" w:tplc="4766777C">
      <w:numFmt w:val="decimal"/>
      <w:lvlText w:val=""/>
      <w:lvlJc w:val="left"/>
    </w:lvl>
    <w:lvl w:ilvl="7" w:tplc="44C4647E">
      <w:numFmt w:val="decimal"/>
      <w:lvlText w:val=""/>
      <w:lvlJc w:val="left"/>
    </w:lvl>
    <w:lvl w:ilvl="8" w:tplc="9DA42B42">
      <w:numFmt w:val="decimal"/>
      <w:lvlText w:val=""/>
      <w:lvlJc w:val="left"/>
    </w:lvl>
  </w:abstractNum>
  <w:abstractNum w:abstractNumId="1" w15:restartNumberingAfterBreak="0">
    <w:nsid w:val="6C525F21"/>
    <w:multiLevelType w:val="hybridMultilevel"/>
    <w:tmpl w:val="2D6285F6"/>
    <w:lvl w:ilvl="0" w:tplc="D250009E">
      <w:start w:val="1"/>
      <w:numFmt w:val="bullet"/>
      <w:lvlText w:val="●"/>
      <w:lvlJc w:val="left"/>
      <w:pPr>
        <w:ind w:left="720" w:hanging="360"/>
      </w:pPr>
    </w:lvl>
    <w:lvl w:ilvl="1" w:tplc="164017FC">
      <w:start w:val="1"/>
      <w:numFmt w:val="bullet"/>
      <w:lvlText w:val="○"/>
      <w:lvlJc w:val="left"/>
      <w:pPr>
        <w:ind w:left="1440" w:hanging="360"/>
      </w:pPr>
    </w:lvl>
    <w:lvl w:ilvl="2" w:tplc="A6FCB354">
      <w:start w:val="1"/>
      <w:numFmt w:val="bullet"/>
      <w:lvlText w:val="■"/>
      <w:lvlJc w:val="left"/>
      <w:pPr>
        <w:ind w:left="2160" w:hanging="360"/>
      </w:pPr>
    </w:lvl>
    <w:lvl w:ilvl="3" w:tplc="4BCAF1A8">
      <w:start w:val="1"/>
      <w:numFmt w:val="bullet"/>
      <w:lvlText w:val="●"/>
      <w:lvlJc w:val="left"/>
      <w:pPr>
        <w:ind w:left="2880" w:hanging="360"/>
      </w:pPr>
    </w:lvl>
    <w:lvl w:ilvl="4" w:tplc="3BD4B18A">
      <w:start w:val="1"/>
      <w:numFmt w:val="bullet"/>
      <w:lvlText w:val="○"/>
      <w:lvlJc w:val="left"/>
      <w:pPr>
        <w:ind w:left="3600" w:hanging="360"/>
      </w:pPr>
    </w:lvl>
    <w:lvl w:ilvl="5" w:tplc="A17824C0">
      <w:start w:val="1"/>
      <w:numFmt w:val="bullet"/>
      <w:lvlText w:val="■"/>
      <w:lvlJc w:val="left"/>
      <w:pPr>
        <w:ind w:left="4320" w:hanging="360"/>
      </w:pPr>
    </w:lvl>
    <w:lvl w:ilvl="6" w:tplc="311A168C">
      <w:start w:val="1"/>
      <w:numFmt w:val="bullet"/>
      <w:lvlText w:val="●"/>
      <w:lvlJc w:val="left"/>
      <w:pPr>
        <w:ind w:left="5040" w:hanging="360"/>
      </w:pPr>
    </w:lvl>
    <w:lvl w:ilvl="7" w:tplc="5E4AB714">
      <w:start w:val="1"/>
      <w:numFmt w:val="bullet"/>
      <w:lvlText w:val="●"/>
      <w:lvlJc w:val="left"/>
      <w:pPr>
        <w:ind w:left="5760" w:hanging="360"/>
      </w:pPr>
    </w:lvl>
    <w:lvl w:ilvl="8" w:tplc="2D22E35C">
      <w:start w:val="1"/>
      <w:numFmt w:val="bullet"/>
      <w:lvlText w:val="●"/>
      <w:lvlJc w:val="left"/>
      <w:pPr>
        <w:ind w:left="6480" w:hanging="360"/>
      </w:pPr>
    </w:lvl>
  </w:abstractNum>
  <w:num w:numId="1" w16cid:durableId="270010702">
    <w:abstractNumId w:val="1"/>
    <w:lvlOverride w:ilvl="0">
      <w:startOverride w:val="1"/>
    </w:lvlOverride>
  </w:num>
  <w:num w:numId="2" w16cid:durableId="4260759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7A"/>
    <w:rsid w:val="001E1C96"/>
    <w:rsid w:val="005A2BD1"/>
    <w:rsid w:val="00637AAD"/>
    <w:rsid w:val="0081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10BE"/>
  <w15:docId w15:val="{D25FAF82-2600-4EF1-8C11-D8AF9A34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00" w:after="160"/>
      <w:outlineLvl w:val="0"/>
    </w:pPr>
    <w:rPr>
      <w:b/>
      <w:bCs/>
      <w:color w:val="1F3A8C"/>
      <w:sz w:val="36"/>
      <w:szCs w:val="36"/>
    </w:rPr>
  </w:style>
  <w:style w:type="paragraph" w:styleId="Ttulo2">
    <w:name w:val="heading 2"/>
    <w:uiPriority w:val="9"/>
    <w:unhideWhenUsed/>
    <w:qFormat/>
    <w:pPr>
      <w:spacing w:before="320" w:after="120"/>
      <w:outlineLvl w:val="1"/>
    </w:pPr>
    <w:rPr>
      <w:b/>
      <w:bCs/>
      <w:color w:val="1F3A8C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1341</Words>
  <Characters>7242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Alexandre Amaral</cp:lastModifiedBy>
  <cp:revision>2</cp:revision>
  <dcterms:created xsi:type="dcterms:W3CDTF">2026-04-14T19:12:00Z</dcterms:created>
  <dcterms:modified xsi:type="dcterms:W3CDTF">2026-04-14T20:42:00Z</dcterms:modified>
</cp:coreProperties>
</file>